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589D" w14:textId="77777777" w:rsidR="004B397C" w:rsidRDefault="004B397C" w:rsidP="004B397C">
      <w:pPr>
        <w:jc w:val="center"/>
        <w:rPr>
          <w:rFonts w:cs="Calibri"/>
          <w:b/>
          <w:sz w:val="28"/>
          <w:szCs w:val="28"/>
          <w:u w:val="single"/>
          <w:lang w:eastAsia="fr-FR"/>
        </w:rPr>
      </w:pPr>
      <w:bookmarkStart w:id="0" w:name="_GoBack"/>
      <w:bookmarkEnd w:id="0"/>
    </w:p>
    <w:p w14:paraId="4D8E4F35" w14:textId="20AF5C80" w:rsidR="004B397C" w:rsidRDefault="004B397C" w:rsidP="004B397C">
      <w:pPr>
        <w:jc w:val="center"/>
        <w:rPr>
          <w:rFonts w:cs="Calibri"/>
          <w:b/>
          <w:sz w:val="28"/>
          <w:szCs w:val="28"/>
          <w:u w:val="single"/>
          <w:lang w:eastAsia="fr-FR"/>
        </w:rPr>
      </w:pPr>
      <w:r>
        <w:rPr>
          <w:rFonts w:cs="Calibri"/>
          <w:noProof/>
          <w:sz w:val="18"/>
          <w:szCs w:val="18"/>
          <w:lang w:eastAsia="fr-FR"/>
        </w:rPr>
        <w:drawing>
          <wp:inline distT="0" distB="0" distL="0" distR="0" wp14:anchorId="40A26ED3" wp14:editId="3E821D6B">
            <wp:extent cx="2289175" cy="1886585"/>
            <wp:effectExtent l="0" t="0" r="0" b="0"/>
            <wp:docPr id="1" name="Image 1" descr="S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GG"/>
                    <pic:cNvPicPr>
                      <a:picLocks noChangeAspect="1" noChangeArrowheads="1"/>
                    </pic:cNvPicPr>
                  </pic:nvPicPr>
                  <pic:blipFill>
                    <a:blip r:embed="rId5">
                      <a:extLst>
                        <a:ext uri="{28A0092B-C50C-407E-A947-70E740481C1C}">
                          <a14:useLocalDpi xmlns:a14="http://schemas.microsoft.com/office/drawing/2010/main" val="0"/>
                        </a:ext>
                      </a:extLst>
                    </a:blip>
                    <a:srcRect b="17392"/>
                    <a:stretch>
                      <a:fillRect/>
                    </a:stretch>
                  </pic:blipFill>
                  <pic:spPr bwMode="auto">
                    <a:xfrm>
                      <a:off x="0" y="0"/>
                      <a:ext cx="2289175" cy="1886585"/>
                    </a:xfrm>
                    <a:prstGeom prst="rect">
                      <a:avLst/>
                    </a:prstGeom>
                    <a:noFill/>
                    <a:ln>
                      <a:noFill/>
                    </a:ln>
                  </pic:spPr>
                </pic:pic>
              </a:graphicData>
            </a:graphic>
          </wp:inline>
        </w:drawing>
      </w:r>
    </w:p>
    <w:p w14:paraId="67818BBA" w14:textId="77777777" w:rsidR="004B397C" w:rsidRDefault="004B397C" w:rsidP="004B397C">
      <w:pPr>
        <w:spacing w:after="0" w:line="240" w:lineRule="auto"/>
        <w:jc w:val="center"/>
        <w:rPr>
          <w:rFonts w:ascii="Arial Narrow" w:hAnsi="Arial Narrow" w:cs="Calibri"/>
          <w:b/>
          <w:sz w:val="28"/>
          <w:szCs w:val="28"/>
          <w:u w:val="single"/>
          <w:lang w:eastAsia="fr-FR"/>
        </w:rPr>
      </w:pPr>
      <w:r>
        <w:rPr>
          <w:rFonts w:ascii="Arial Narrow" w:hAnsi="Arial Narrow" w:cs="Calibri"/>
          <w:b/>
          <w:sz w:val="28"/>
          <w:szCs w:val="28"/>
          <w:u w:val="single"/>
          <w:lang w:eastAsia="fr-FR"/>
        </w:rPr>
        <w:t>Eléments de langage</w:t>
      </w:r>
    </w:p>
    <w:p w14:paraId="6FDA58DA" w14:textId="77777777" w:rsidR="004B397C" w:rsidRDefault="004B397C" w:rsidP="004B397C">
      <w:pPr>
        <w:spacing w:after="0" w:line="240" w:lineRule="auto"/>
        <w:jc w:val="center"/>
        <w:rPr>
          <w:rFonts w:ascii="Arial Narrow" w:hAnsi="Arial Narrow" w:cs="Calibri"/>
          <w:noProof/>
          <w:sz w:val="28"/>
          <w:szCs w:val="28"/>
        </w:rPr>
      </w:pPr>
    </w:p>
    <w:p w14:paraId="268F8DD2" w14:textId="77777777" w:rsidR="004B397C" w:rsidRDefault="004B397C" w:rsidP="004B397C">
      <w:pPr>
        <w:tabs>
          <w:tab w:val="left" w:pos="1095"/>
        </w:tabs>
        <w:spacing w:after="0" w:line="240" w:lineRule="auto"/>
        <w:jc w:val="center"/>
        <w:rPr>
          <w:rFonts w:ascii="Arial Narrow" w:hAnsi="Arial Narrow" w:cs="Calibri"/>
          <w:b/>
          <w:sz w:val="28"/>
          <w:szCs w:val="28"/>
          <w:lang w:eastAsia="fr-FR"/>
        </w:rPr>
      </w:pPr>
      <w:r>
        <w:rPr>
          <w:rFonts w:ascii="Arial Narrow" w:hAnsi="Arial Narrow" w:cs="Calibri"/>
          <w:b/>
          <w:sz w:val="28"/>
          <w:szCs w:val="28"/>
          <w:lang w:eastAsia="fr-FR"/>
        </w:rPr>
        <w:t>Adoption du projet de décret portant réglementation de la caution,</w:t>
      </w:r>
    </w:p>
    <w:p w14:paraId="6C40770C" w14:textId="77777777" w:rsidR="004B397C" w:rsidRDefault="004B397C" w:rsidP="004B397C">
      <w:pPr>
        <w:tabs>
          <w:tab w:val="left" w:pos="1095"/>
        </w:tabs>
        <w:spacing w:after="0" w:line="240" w:lineRule="auto"/>
        <w:jc w:val="center"/>
        <w:rPr>
          <w:rFonts w:ascii="Arial Narrow" w:hAnsi="Arial Narrow" w:cs="Arial"/>
          <w:b/>
          <w:bCs/>
          <w:sz w:val="28"/>
          <w:szCs w:val="28"/>
        </w:rPr>
      </w:pPr>
      <w:r>
        <w:rPr>
          <w:rFonts w:ascii="Arial Narrow" w:hAnsi="Arial Narrow" w:cs="Calibri"/>
          <w:b/>
          <w:sz w:val="28"/>
          <w:szCs w:val="28"/>
          <w:lang w:eastAsia="fr-FR"/>
        </w:rPr>
        <w:t xml:space="preserve"> </w:t>
      </w:r>
      <w:proofErr w:type="gramStart"/>
      <w:r>
        <w:rPr>
          <w:rFonts w:ascii="Arial Narrow" w:hAnsi="Arial Narrow" w:cs="Calibri"/>
          <w:b/>
          <w:sz w:val="28"/>
          <w:szCs w:val="28"/>
          <w:lang w:eastAsia="fr-FR"/>
        </w:rPr>
        <w:t>de</w:t>
      </w:r>
      <w:proofErr w:type="gramEnd"/>
      <w:r>
        <w:rPr>
          <w:rFonts w:ascii="Arial Narrow" w:hAnsi="Arial Narrow" w:cs="Calibri"/>
          <w:b/>
          <w:sz w:val="28"/>
          <w:szCs w:val="28"/>
          <w:lang w:eastAsia="fr-FR"/>
        </w:rPr>
        <w:t xml:space="preserve"> la garantie de loyer et du bail d’habitation</w:t>
      </w:r>
    </w:p>
    <w:p w14:paraId="0023E553" w14:textId="77777777" w:rsidR="004B397C" w:rsidRDefault="004B397C" w:rsidP="004B397C">
      <w:pPr>
        <w:spacing w:after="0" w:line="240" w:lineRule="auto"/>
        <w:jc w:val="center"/>
        <w:rPr>
          <w:rFonts w:ascii="Arial Narrow" w:hAnsi="Arial Narrow" w:cs="Calibri"/>
          <w:b/>
          <w:sz w:val="28"/>
          <w:szCs w:val="28"/>
          <w:lang w:eastAsia="fr-FR"/>
        </w:rPr>
      </w:pPr>
    </w:p>
    <w:p w14:paraId="7C214C3C" w14:textId="77777777" w:rsidR="004B397C" w:rsidRDefault="004B397C" w:rsidP="004B397C">
      <w:pPr>
        <w:spacing w:after="0" w:line="240" w:lineRule="auto"/>
        <w:rPr>
          <w:rFonts w:ascii="Arial Narrow" w:hAnsi="Arial Narrow" w:cs="Calibri"/>
          <w:b/>
          <w:sz w:val="28"/>
          <w:szCs w:val="28"/>
          <w:lang w:eastAsia="fr-FR"/>
        </w:rPr>
      </w:pPr>
    </w:p>
    <w:p w14:paraId="247684A6" w14:textId="77777777" w:rsidR="004B397C" w:rsidRDefault="004B397C" w:rsidP="004B397C">
      <w:pPr>
        <w:spacing w:after="0" w:line="240" w:lineRule="auto"/>
        <w:rPr>
          <w:rFonts w:ascii="Arial Narrow" w:hAnsi="Arial Narrow" w:cs="Calibri"/>
          <w:b/>
          <w:sz w:val="28"/>
          <w:szCs w:val="28"/>
          <w:lang w:eastAsia="fr-FR"/>
        </w:rPr>
      </w:pPr>
      <w:r>
        <w:rPr>
          <w:rFonts w:ascii="Arial Narrow" w:hAnsi="Arial Narrow" w:cs="Calibri"/>
          <w:b/>
          <w:sz w:val="28"/>
          <w:szCs w:val="28"/>
          <w:lang w:eastAsia="fr-FR"/>
        </w:rPr>
        <w:t xml:space="preserve">Principaux messages : </w:t>
      </w:r>
    </w:p>
    <w:p w14:paraId="71CB96EA" w14:textId="77777777" w:rsidR="004B397C" w:rsidRDefault="004B397C" w:rsidP="004B397C">
      <w:pPr>
        <w:tabs>
          <w:tab w:val="left" w:pos="1095"/>
        </w:tabs>
        <w:spacing w:after="0" w:line="240" w:lineRule="auto"/>
        <w:rPr>
          <w:rFonts w:ascii="Arial Narrow" w:hAnsi="Arial Narrow" w:cs="Calibri"/>
          <w:sz w:val="28"/>
          <w:szCs w:val="28"/>
          <w:lang w:eastAsia="fr-FR"/>
        </w:rPr>
      </w:pPr>
    </w:p>
    <w:p w14:paraId="2A697B35" w14:textId="77777777" w:rsidR="004B397C" w:rsidRDefault="004B397C" w:rsidP="004B397C">
      <w:pPr>
        <w:tabs>
          <w:tab w:val="left" w:pos="1095"/>
        </w:tabs>
        <w:spacing w:after="0" w:line="240" w:lineRule="auto"/>
        <w:jc w:val="both"/>
        <w:rPr>
          <w:rFonts w:ascii="Arial Narrow" w:hAnsi="Arial Narrow" w:cs="Calibri"/>
          <w:bCs/>
          <w:sz w:val="28"/>
          <w:szCs w:val="28"/>
          <w:lang w:eastAsia="fr-FR"/>
        </w:rPr>
      </w:pPr>
      <w:r>
        <w:rPr>
          <w:rFonts w:ascii="Arial Narrow" w:hAnsi="Arial Narrow" w:cs="Calibri"/>
          <w:sz w:val="28"/>
          <w:szCs w:val="28"/>
          <w:lang w:eastAsia="fr-FR"/>
        </w:rPr>
        <w:t xml:space="preserve">Le Conseil de ministres, sous la Présidence de Son Excellence Monsieur Faure </w:t>
      </w:r>
      <w:proofErr w:type="spellStart"/>
      <w:r>
        <w:rPr>
          <w:rFonts w:ascii="Arial Narrow" w:hAnsi="Arial Narrow" w:cs="Calibri"/>
          <w:sz w:val="28"/>
          <w:szCs w:val="28"/>
          <w:lang w:eastAsia="fr-FR"/>
        </w:rPr>
        <w:t>Essozimna</w:t>
      </w:r>
      <w:proofErr w:type="spellEnd"/>
      <w:r>
        <w:rPr>
          <w:rFonts w:ascii="Arial Narrow" w:hAnsi="Arial Narrow" w:cs="Calibri"/>
          <w:sz w:val="28"/>
          <w:szCs w:val="28"/>
          <w:lang w:eastAsia="fr-FR"/>
        </w:rPr>
        <w:t xml:space="preserve"> GNASSINGBE, Président de la République, a adopté en sa séance du 05 janvier 2022, le décret</w:t>
      </w:r>
      <w:r>
        <w:rPr>
          <w:rFonts w:ascii="Arial Narrow" w:hAnsi="Arial Narrow" w:cs="Calibri"/>
          <w:bCs/>
          <w:sz w:val="28"/>
          <w:szCs w:val="28"/>
          <w:lang w:eastAsia="fr-FR"/>
        </w:rPr>
        <w:t xml:space="preserve"> portant réglementation de la caution, de la garantie de loyer et du bail d’habitation.</w:t>
      </w:r>
    </w:p>
    <w:p w14:paraId="2BA85ED2" w14:textId="77777777" w:rsidR="004B397C" w:rsidRDefault="004B397C" w:rsidP="004B397C">
      <w:pPr>
        <w:spacing w:after="0" w:line="240" w:lineRule="auto"/>
        <w:rPr>
          <w:rFonts w:ascii="Arial Narrow" w:hAnsi="Arial Narrow" w:cs="Calibri"/>
          <w:b/>
          <w:sz w:val="28"/>
          <w:szCs w:val="28"/>
          <w:u w:val="single"/>
          <w:lang w:eastAsia="fr-FR"/>
        </w:rPr>
      </w:pPr>
    </w:p>
    <w:p w14:paraId="754A6B76" w14:textId="77777777" w:rsidR="004B397C" w:rsidRDefault="004B397C" w:rsidP="004B397C">
      <w:pPr>
        <w:pStyle w:val="Paragraphedeliste"/>
        <w:numPr>
          <w:ilvl w:val="0"/>
          <w:numId w:val="1"/>
        </w:numPr>
        <w:jc w:val="both"/>
        <w:rPr>
          <w:rFonts w:ascii="Arial Narrow" w:hAnsi="Arial Narrow" w:cs="Calibri"/>
          <w:b/>
          <w:bCs/>
          <w:sz w:val="28"/>
          <w:szCs w:val="28"/>
        </w:rPr>
      </w:pPr>
      <w:r>
        <w:rPr>
          <w:rFonts w:ascii="Arial Narrow" w:hAnsi="Arial Narrow" w:cs="Calibri"/>
          <w:b/>
          <w:bCs/>
          <w:sz w:val="28"/>
          <w:szCs w:val="28"/>
        </w:rPr>
        <w:t xml:space="preserve">Éléments de contexte </w:t>
      </w:r>
    </w:p>
    <w:p w14:paraId="43099184" w14:textId="77777777" w:rsidR="004B397C" w:rsidRDefault="004B397C" w:rsidP="004B397C">
      <w:pPr>
        <w:widowControl w:val="0"/>
        <w:spacing w:after="0" w:line="240" w:lineRule="auto"/>
        <w:jc w:val="both"/>
        <w:rPr>
          <w:rFonts w:ascii="Arial Narrow" w:hAnsi="Arial Narrow" w:cs="Arial"/>
          <w:sz w:val="28"/>
          <w:szCs w:val="28"/>
          <w:lang w:eastAsia="fr-FR"/>
        </w:rPr>
      </w:pPr>
      <w:r>
        <w:rPr>
          <w:rFonts w:ascii="Arial Narrow" w:hAnsi="Arial Narrow" w:cs="Arial"/>
          <w:sz w:val="28"/>
          <w:szCs w:val="28"/>
          <w:lang w:eastAsia="fr-FR"/>
        </w:rPr>
        <w:t>Depuis plusieurs années, les populations urbaines de notre pays sont confrontées aux difficultés d’accès à un logement décent. Ces difficultés sont liées à la faiblesse de l’offre de logements qui entraîne des spéculations auxquelles se livrent certains propriétaires sur les loyers. En effet, ces derniers exigent non seulement des loyers exorbitants mais aussi le versement d’une caution et d’un loyer</w:t>
      </w:r>
      <w:r>
        <w:rPr>
          <w:rFonts w:ascii="Arial Narrow" w:hAnsi="Arial Narrow" w:cs="Arial"/>
          <w:b/>
          <w:bCs/>
          <w:sz w:val="28"/>
          <w:szCs w:val="28"/>
          <w:lang w:eastAsia="fr-FR"/>
        </w:rPr>
        <w:t xml:space="preserve"> </w:t>
      </w:r>
      <w:r>
        <w:rPr>
          <w:rFonts w:ascii="Arial Narrow" w:hAnsi="Arial Narrow" w:cs="Arial"/>
          <w:bCs/>
          <w:sz w:val="28"/>
          <w:szCs w:val="28"/>
          <w:lang w:eastAsia="fr-FR"/>
        </w:rPr>
        <w:t>d’avance</w:t>
      </w:r>
      <w:r>
        <w:rPr>
          <w:rFonts w:ascii="Arial Narrow" w:hAnsi="Arial Narrow" w:cs="Arial"/>
          <w:b/>
          <w:bCs/>
          <w:sz w:val="28"/>
          <w:szCs w:val="28"/>
          <w:lang w:eastAsia="fr-FR"/>
        </w:rPr>
        <w:t xml:space="preserve"> </w:t>
      </w:r>
      <w:r>
        <w:rPr>
          <w:rFonts w:ascii="Arial Narrow" w:hAnsi="Arial Narrow" w:cs="Arial"/>
          <w:sz w:val="28"/>
          <w:szCs w:val="28"/>
          <w:lang w:eastAsia="fr-FR"/>
        </w:rPr>
        <w:t>correspondant à un (1) voire trois (3) ans de loyer.</w:t>
      </w:r>
    </w:p>
    <w:p w14:paraId="61205456" w14:textId="2AFDE8CF" w:rsidR="004B397C" w:rsidRDefault="004B397C" w:rsidP="004B397C">
      <w:pPr>
        <w:spacing w:after="0" w:line="240" w:lineRule="auto"/>
        <w:jc w:val="both"/>
        <w:rPr>
          <w:rFonts w:ascii="Arial Narrow" w:hAnsi="Arial Narrow" w:cs="Arial"/>
          <w:sz w:val="28"/>
          <w:szCs w:val="28"/>
        </w:rPr>
      </w:pPr>
      <w:r>
        <w:rPr>
          <w:rFonts w:ascii="Arial Narrow" w:hAnsi="Arial Narrow" w:cs="Arial"/>
          <w:sz w:val="28"/>
          <w:szCs w:val="28"/>
          <w:lang w:eastAsia="fr-FR"/>
        </w:rPr>
        <w:t xml:space="preserve">Le Gouvernement, conscient de la situation, </w:t>
      </w:r>
      <w:r>
        <w:rPr>
          <w:rFonts w:ascii="Arial Narrow" w:hAnsi="Arial Narrow" w:cs="Arial"/>
          <w:sz w:val="28"/>
          <w:szCs w:val="28"/>
        </w:rPr>
        <w:t>s’est engagé</w:t>
      </w:r>
      <w:r>
        <w:rPr>
          <w:rFonts w:ascii="Arial Narrow" w:hAnsi="Arial Narrow" w:cs="Arial"/>
          <w:sz w:val="28"/>
          <w:szCs w:val="28"/>
          <w:lang w:eastAsia="fr-FR"/>
        </w:rPr>
        <w:t xml:space="preserve"> dans sa feuille de route 2020-2025,</w:t>
      </w:r>
      <w:r>
        <w:rPr>
          <w:rFonts w:ascii="Arial Narrow" w:hAnsi="Arial Narrow" w:cs="Arial"/>
          <w:sz w:val="28"/>
          <w:szCs w:val="28"/>
        </w:rPr>
        <w:t xml:space="preserve"> à promouvoir, avec l’appui du secteur privé, la construction d’au moins 20</w:t>
      </w:r>
      <w:r w:rsidR="0056363D">
        <w:rPr>
          <w:rFonts w:ascii="Arial Narrow" w:hAnsi="Arial Narrow" w:cs="Arial"/>
          <w:sz w:val="28"/>
          <w:szCs w:val="28"/>
        </w:rPr>
        <w:t xml:space="preserve"> </w:t>
      </w:r>
      <w:r>
        <w:rPr>
          <w:rFonts w:ascii="Arial Narrow" w:hAnsi="Arial Narrow" w:cs="Arial"/>
          <w:sz w:val="28"/>
          <w:szCs w:val="28"/>
        </w:rPr>
        <w:t xml:space="preserve">000 logements décents et à coûts abordables, </w:t>
      </w:r>
      <w:r>
        <w:rPr>
          <w:rFonts w:ascii="Arial Narrow" w:hAnsi="Arial Narrow" w:cs="Arial"/>
          <w:sz w:val="28"/>
          <w:szCs w:val="28"/>
          <w:lang w:eastAsia="fr-FR"/>
        </w:rPr>
        <w:t>c</w:t>
      </w:r>
      <w:r>
        <w:rPr>
          <w:rFonts w:ascii="Arial Narrow" w:hAnsi="Arial Narrow" w:cs="Arial"/>
          <w:sz w:val="28"/>
          <w:szCs w:val="28"/>
        </w:rPr>
        <w:t>onformément à l’effet 10 de l’axe stratégique 3 du plan national de développement (PND) qui vise à consolider le développement social et à renforcer les mécanismes d’inclusion. Ces 20 000 logements seront répartis sur l’ensemble du territoire togolais en fonction de la demande réelle et de la capacité financière des populations concernées.</w:t>
      </w:r>
    </w:p>
    <w:p w14:paraId="305049D9" w14:textId="77777777" w:rsidR="004B397C" w:rsidRDefault="004B397C" w:rsidP="004B397C">
      <w:pPr>
        <w:widowControl w:val="0"/>
        <w:spacing w:after="0" w:line="240" w:lineRule="auto"/>
        <w:jc w:val="both"/>
        <w:rPr>
          <w:rFonts w:ascii="Arial Narrow" w:hAnsi="Arial Narrow" w:cs="Arial"/>
          <w:sz w:val="28"/>
          <w:szCs w:val="28"/>
          <w:lang w:eastAsia="fr-FR"/>
        </w:rPr>
      </w:pPr>
      <w:r>
        <w:rPr>
          <w:rFonts w:ascii="Arial Narrow" w:hAnsi="Arial Narrow" w:cs="Arial"/>
          <w:sz w:val="28"/>
          <w:szCs w:val="28"/>
          <w:lang w:eastAsia="fr-FR"/>
        </w:rPr>
        <w:t>En attendant la mise en œuvre de ce vaste programme social, il importe, au regard de la situation actuelle, de mieux encadrer le secteur des baux d’habitation à travers une définition claire et un cadrage des charges et obligations de tous les acteurs.</w:t>
      </w:r>
    </w:p>
    <w:p w14:paraId="08AB5205" w14:textId="1E84A665" w:rsidR="004B397C" w:rsidRDefault="004B397C" w:rsidP="004B397C">
      <w:pPr>
        <w:widowControl w:val="0"/>
        <w:spacing w:after="0" w:line="240" w:lineRule="auto"/>
        <w:jc w:val="both"/>
        <w:rPr>
          <w:rFonts w:ascii="Arial Narrow" w:hAnsi="Arial Narrow" w:cs="Arial"/>
          <w:sz w:val="28"/>
          <w:szCs w:val="28"/>
          <w:lang w:eastAsia="fr-FR"/>
        </w:rPr>
      </w:pPr>
    </w:p>
    <w:p w14:paraId="2F763580" w14:textId="77777777" w:rsidR="004B397C" w:rsidRDefault="004B397C" w:rsidP="004B397C">
      <w:pPr>
        <w:widowControl w:val="0"/>
        <w:spacing w:after="0" w:line="240" w:lineRule="auto"/>
        <w:jc w:val="both"/>
        <w:rPr>
          <w:rFonts w:ascii="Arial Narrow" w:hAnsi="Arial Narrow" w:cs="Arial"/>
          <w:sz w:val="28"/>
          <w:szCs w:val="28"/>
          <w:lang w:eastAsia="fr-FR"/>
        </w:rPr>
      </w:pPr>
    </w:p>
    <w:p w14:paraId="64EF455E" w14:textId="77777777" w:rsidR="004B397C" w:rsidRDefault="004B397C" w:rsidP="004B397C">
      <w:pPr>
        <w:pStyle w:val="Paragraphedeliste"/>
        <w:numPr>
          <w:ilvl w:val="0"/>
          <w:numId w:val="1"/>
        </w:numPr>
        <w:rPr>
          <w:rFonts w:ascii="Arial Narrow" w:hAnsi="Arial Narrow" w:cs="Calibri"/>
          <w:b/>
          <w:sz w:val="28"/>
          <w:szCs w:val="28"/>
        </w:rPr>
      </w:pPr>
      <w:r>
        <w:rPr>
          <w:rFonts w:ascii="Arial Narrow" w:hAnsi="Arial Narrow" w:cs="Calibri"/>
          <w:b/>
          <w:sz w:val="28"/>
          <w:szCs w:val="28"/>
        </w:rPr>
        <w:t>Éléments de langage</w:t>
      </w:r>
    </w:p>
    <w:p w14:paraId="4A450722" w14:textId="77777777" w:rsidR="004B397C" w:rsidRDefault="004B397C" w:rsidP="004B397C">
      <w:pPr>
        <w:pStyle w:val="Paragraphedeliste"/>
        <w:ind w:left="1080"/>
        <w:rPr>
          <w:rFonts w:ascii="Arial Narrow" w:hAnsi="Arial Narrow" w:cs="Calibri"/>
          <w:b/>
          <w:sz w:val="28"/>
          <w:szCs w:val="28"/>
        </w:rPr>
      </w:pPr>
    </w:p>
    <w:p w14:paraId="552F70FA" w14:textId="77777777" w:rsidR="004B397C" w:rsidRDefault="004B397C" w:rsidP="004B397C">
      <w:pPr>
        <w:pStyle w:val="Paragraphedeliste"/>
        <w:numPr>
          <w:ilvl w:val="0"/>
          <w:numId w:val="2"/>
        </w:numPr>
        <w:spacing w:after="240"/>
        <w:jc w:val="both"/>
        <w:rPr>
          <w:rFonts w:ascii="Arial Narrow" w:hAnsi="Arial Narrow" w:cs="Calibri"/>
          <w:b/>
          <w:sz w:val="28"/>
          <w:szCs w:val="28"/>
        </w:rPr>
      </w:pPr>
      <w:r>
        <w:rPr>
          <w:rFonts w:ascii="Arial Narrow" w:hAnsi="Arial Narrow" w:cs="Calibri"/>
          <w:b/>
          <w:sz w:val="28"/>
          <w:szCs w:val="28"/>
        </w:rPr>
        <w:t>Constats</w:t>
      </w:r>
    </w:p>
    <w:p w14:paraId="180E078E" w14:textId="77777777" w:rsidR="004B397C" w:rsidRDefault="004B397C" w:rsidP="004B397C">
      <w:pPr>
        <w:tabs>
          <w:tab w:val="left" w:pos="1095"/>
        </w:tabs>
        <w:spacing w:after="0" w:line="240" w:lineRule="auto"/>
        <w:jc w:val="both"/>
        <w:rPr>
          <w:rFonts w:ascii="Arial Narrow" w:hAnsi="Arial Narrow" w:cs="Calibri"/>
          <w:sz w:val="28"/>
          <w:szCs w:val="28"/>
          <w:lang w:eastAsia="fr-FR"/>
        </w:rPr>
      </w:pPr>
      <w:r>
        <w:rPr>
          <w:rFonts w:ascii="Arial Narrow" w:hAnsi="Arial Narrow" w:cs="Arial"/>
          <w:sz w:val="28"/>
          <w:szCs w:val="28"/>
        </w:rPr>
        <w:t>La caution (le dépôt de garantie) constitue un facteur principal limitant l’accès à un logement décent et à coût abordable aux couches de la population à revenus faibles et intermédiaires dans notre pays. Très exorbitantes ces cautions sont d’un (01) voire trois (03) ans dans certains cas. On note par ailleurs de plus en plus de</w:t>
      </w:r>
      <w:r>
        <w:rPr>
          <w:rFonts w:ascii="Arial Narrow" w:hAnsi="Arial Narrow" w:cs="Arial"/>
          <w:sz w:val="28"/>
          <w:szCs w:val="28"/>
          <w:lang w:eastAsia="fr-CA"/>
        </w:rPr>
        <w:t xml:space="preserve"> règlement conflictuel entre locataires et propriétaires. Le </w:t>
      </w:r>
      <w:r>
        <w:rPr>
          <w:rFonts w:ascii="Arial Narrow" w:hAnsi="Arial Narrow" w:cs="Calibri"/>
          <w:sz w:val="28"/>
          <w:szCs w:val="28"/>
          <w:lang w:eastAsia="fr-FR"/>
        </w:rPr>
        <w:t>décret portant réglementation de la caution, de la garantie de loyer et du bail d’habitation</w:t>
      </w:r>
      <w:r>
        <w:rPr>
          <w:rFonts w:ascii="Arial Narrow" w:eastAsia="SimSun" w:hAnsi="Arial Narrow" w:cs="Arial"/>
          <w:sz w:val="28"/>
          <w:szCs w:val="28"/>
          <w:lang w:eastAsia="fr-FR"/>
        </w:rPr>
        <w:t xml:space="preserve"> vient pallier les insuffisances constatées dans ce domaine. </w:t>
      </w:r>
    </w:p>
    <w:p w14:paraId="6D44992A" w14:textId="77777777" w:rsidR="004B397C" w:rsidRDefault="004B397C" w:rsidP="004B397C">
      <w:pPr>
        <w:pStyle w:val="Paragraphedeliste"/>
        <w:spacing w:after="240"/>
        <w:ind w:left="360"/>
        <w:jc w:val="both"/>
        <w:rPr>
          <w:rFonts w:ascii="Arial Narrow" w:eastAsia="SimSun" w:hAnsi="Arial Narrow" w:cs="Arial"/>
          <w:sz w:val="28"/>
          <w:szCs w:val="28"/>
          <w:lang w:eastAsia="fr-FR"/>
        </w:rPr>
      </w:pPr>
    </w:p>
    <w:p w14:paraId="7BB4E481" w14:textId="77777777" w:rsidR="004B397C" w:rsidRDefault="004B397C" w:rsidP="004B397C">
      <w:pPr>
        <w:pStyle w:val="Paragraphedeliste"/>
        <w:numPr>
          <w:ilvl w:val="0"/>
          <w:numId w:val="2"/>
        </w:numPr>
        <w:jc w:val="both"/>
        <w:rPr>
          <w:rFonts w:ascii="Arial Narrow" w:hAnsi="Arial Narrow" w:cs="Calibri"/>
          <w:b/>
          <w:sz w:val="28"/>
          <w:szCs w:val="28"/>
        </w:rPr>
      </w:pPr>
      <w:r>
        <w:rPr>
          <w:rFonts w:ascii="Arial Narrow" w:hAnsi="Arial Narrow" w:cs="Calibri"/>
          <w:b/>
          <w:sz w:val="28"/>
          <w:szCs w:val="28"/>
        </w:rPr>
        <w:t xml:space="preserve"> Esprit et objectifs des mesures prises par le gouvernement </w:t>
      </w:r>
    </w:p>
    <w:p w14:paraId="65AF19A1" w14:textId="77777777" w:rsidR="004B397C" w:rsidRDefault="004B397C" w:rsidP="004B397C">
      <w:pPr>
        <w:pStyle w:val="Paragraphedeliste"/>
        <w:jc w:val="both"/>
        <w:rPr>
          <w:rFonts w:ascii="Arial Narrow" w:hAnsi="Arial Narrow" w:cs="Calibri"/>
          <w:b/>
          <w:sz w:val="28"/>
          <w:szCs w:val="28"/>
        </w:rPr>
      </w:pPr>
    </w:p>
    <w:p w14:paraId="31651CED" w14:textId="1F2E9B17" w:rsidR="00157647" w:rsidRPr="00157647" w:rsidRDefault="004B397C" w:rsidP="004B397C">
      <w:pPr>
        <w:jc w:val="both"/>
        <w:rPr>
          <w:rFonts w:ascii="Arial Narrow" w:hAnsi="Arial Narrow" w:cs="Arial"/>
          <w:bCs/>
          <w:sz w:val="28"/>
          <w:szCs w:val="28"/>
        </w:rPr>
      </w:pPr>
      <w:r>
        <w:rPr>
          <w:rFonts w:ascii="Arial Narrow" w:eastAsia="SimSun" w:hAnsi="Arial Narrow" w:cs="Arial"/>
          <w:sz w:val="28"/>
          <w:szCs w:val="28"/>
          <w:lang w:eastAsia="fr-FR"/>
        </w:rPr>
        <w:t xml:space="preserve">Le présent décret est le </w:t>
      </w:r>
      <w:r>
        <w:rPr>
          <w:rFonts w:ascii="Arial Narrow" w:hAnsi="Arial Narrow" w:cs="Arial"/>
          <w:sz w:val="28"/>
          <w:szCs w:val="28"/>
          <w:lang w:val="fr-CH" w:eastAsia="fr-FR"/>
        </w:rPr>
        <w:t xml:space="preserve">résultat d’un long processus participatif qui a pris en compte les préoccupations des différents acteurs. Il vise à protéger les couches faibles et les moins nanties de nos compatriotes conformément à la vision sociale du Chef de l’Etat. De même, en tenant compte de la réalité du marché, le nouveau décret permet d’adopter des mesures équilibrées qui protègent les locataires et rassurent les investisseurs. </w:t>
      </w:r>
      <w:r>
        <w:rPr>
          <w:rFonts w:ascii="Arial Narrow" w:eastAsia="SimSun" w:hAnsi="Arial Narrow" w:cs="Arial"/>
          <w:sz w:val="28"/>
          <w:szCs w:val="28"/>
          <w:lang w:eastAsia="fr-FR"/>
        </w:rPr>
        <w:t>En l’occurrence, le décret portant réglementation de la caution, de la garantie de loyer et du bail d’habitation ap</w:t>
      </w:r>
      <w:r>
        <w:rPr>
          <w:rFonts w:ascii="Arial Narrow" w:hAnsi="Arial Narrow" w:cs="Arial"/>
          <w:bCs/>
          <w:sz w:val="28"/>
          <w:szCs w:val="28"/>
        </w:rPr>
        <w:t>porte de grandes innovations dans le domaine.</w:t>
      </w:r>
      <w:r w:rsidR="005A75A2">
        <w:rPr>
          <w:rFonts w:ascii="Arial Narrow" w:hAnsi="Arial Narrow" w:cs="Arial"/>
          <w:b/>
          <w:sz w:val="28"/>
          <w:szCs w:val="28"/>
        </w:rPr>
        <w:t xml:space="preserve"> </w:t>
      </w:r>
      <w:r w:rsidR="00157647">
        <w:rPr>
          <w:rFonts w:ascii="Arial Narrow" w:hAnsi="Arial Narrow" w:cs="Arial"/>
          <w:bCs/>
          <w:sz w:val="28"/>
          <w:szCs w:val="28"/>
        </w:rPr>
        <w:t xml:space="preserve">Avec ce décret, la caution et la garantie de loyer </w:t>
      </w:r>
      <w:r w:rsidR="00E41511">
        <w:rPr>
          <w:rFonts w:ascii="Arial Narrow" w:hAnsi="Arial Narrow" w:cs="Arial"/>
          <w:bCs/>
          <w:sz w:val="28"/>
          <w:szCs w:val="28"/>
        </w:rPr>
        <w:t>passent d’un an à</w:t>
      </w:r>
      <w:r w:rsidR="00157647">
        <w:rPr>
          <w:rFonts w:ascii="Arial Narrow" w:hAnsi="Arial Narrow" w:cs="Arial"/>
          <w:bCs/>
          <w:sz w:val="28"/>
          <w:szCs w:val="28"/>
        </w:rPr>
        <w:t xml:space="preserve"> 6 mois et ces deux suretés sont éclatées</w:t>
      </w:r>
      <w:r w:rsidR="005A75A2">
        <w:rPr>
          <w:rFonts w:ascii="Arial Narrow" w:hAnsi="Arial Narrow" w:cs="Arial"/>
          <w:bCs/>
          <w:sz w:val="28"/>
          <w:szCs w:val="28"/>
        </w:rPr>
        <w:t xml:space="preserve"> et distinctes de par leur destination.</w:t>
      </w:r>
      <w:r w:rsidR="002A1C5F">
        <w:rPr>
          <w:rFonts w:ascii="Arial Narrow" w:hAnsi="Arial Narrow" w:cs="Arial"/>
          <w:bCs/>
          <w:sz w:val="28"/>
          <w:szCs w:val="28"/>
        </w:rPr>
        <w:t xml:space="preserve"> On note :</w:t>
      </w:r>
    </w:p>
    <w:p w14:paraId="39B6029E" w14:textId="231B0C9C" w:rsidR="004B397C" w:rsidRDefault="004B397C" w:rsidP="004B397C">
      <w:pPr>
        <w:numPr>
          <w:ilvl w:val="0"/>
          <w:numId w:val="3"/>
        </w:numPr>
        <w:spacing w:after="0"/>
        <w:jc w:val="both"/>
        <w:rPr>
          <w:rFonts w:ascii="Arial Narrow" w:hAnsi="Arial Narrow" w:cs="Arial"/>
          <w:bCs/>
          <w:sz w:val="28"/>
          <w:szCs w:val="28"/>
        </w:rPr>
      </w:pPr>
      <w:r>
        <w:rPr>
          <w:rFonts w:ascii="Arial Narrow" w:hAnsi="Arial Narrow" w:cs="Arial"/>
          <w:b/>
          <w:sz w:val="28"/>
          <w:szCs w:val="28"/>
        </w:rPr>
        <w:t xml:space="preserve">2.1. </w:t>
      </w:r>
      <w:r w:rsidR="002A1C5F">
        <w:rPr>
          <w:rFonts w:ascii="Arial Narrow" w:hAnsi="Arial Narrow" w:cs="Arial"/>
          <w:b/>
          <w:sz w:val="28"/>
          <w:szCs w:val="28"/>
        </w:rPr>
        <w:t>Le p</w:t>
      </w:r>
      <w:r>
        <w:rPr>
          <w:rFonts w:ascii="Arial Narrow" w:hAnsi="Arial Narrow" w:cs="Arial"/>
          <w:b/>
          <w:sz w:val="28"/>
          <w:szCs w:val="28"/>
        </w:rPr>
        <w:t>lafonnement de la caution</w:t>
      </w:r>
      <w:r>
        <w:rPr>
          <w:rFonts w:ascii="Arial Narrow" w:hAnsi="Arial Narrow" w:cs="Arial"/>
          <w:bCs/>
          <w:sz w:val="28"/>
          <w:szCs w:val="28"/>
        </w:rPr>
        <w:t xml:space="preserve"> </w:t>
      </w:r>
      <w:r>
        <w:rPr>
          <w:rFonts w:ascii="Arial Narrow" w:hAnsi="Arial Narrow" w:cs="Arial"/>
          <w:b/>
          <w:sz w:val="28"/>
          <w:szCs w:val="28"/>
        </w:rPr>
        <w:t>(Article 4)</w:t>
      </w:r>
    </w:p>
    <w:p w14:paraId="168F310E" w14:textId="49B323DD" w:rsidR="004B397C" w:rsidRDefault="004B397C" w:rsidP="004B397C">
      <w:pPr>
        <w:spacing w:after="0"/>
        <w:ind w:left="708"/>
        <w:jc w:val="both"/>
        <w:rPr>
          <w:rFonts w:ascii="Arial Narrow" w:hAnsi="Arial Narrow" w:cs="Arial"/>
          <w:bCs/>
          <w:sz w:val="28"/>
          <w:szCs w:val="28"/>
        </w:rPr>
      </w:pPr>
      <w:r>
        <w:rPr>
          <w:rFonts w:ascii="Arial Narrow" w:hAnsi="Arial Narrow" w:cs="Arial"/>
          <w:bCs/>
          <w:sz w:val="28"/>
          <w:szCs w:val="28"/>
          <w:lang w:val="fr-CH"/>
        </w:rPr>
        <w:t>La caution </w:t>
      </w:r>
      <w:r w:rsidR="00E41511">
        <w:rPr>
          <w:rFonts w:ascii="Arial Narrow" w:hAnsi="Arial Narrow" w:cs="Arial"/>
          <w:bCs/>
          <w:sz w:val="28"/>
          <w:szCs w:val="28"/>
          <w:lang w:val="fr-CH"/>
        </w:rPr>
        <w:t>se définit comme</w:t>
      </w:r>
      <w:r>
        <w:rPr>
          <w:rFonts w:ascii="Arial Narrow" w:hAnsi="Arial Narrow" w:cs="Arial"/>
          <w:sz w:val="28"/>
          <w:szCs w:val="28"/>
          <w:lang w:val="fr-CH"/>
        </w:rPr>
        <w:t xml:space="preserve"> la somme que doit verser le locataire à l’entrée dans les lieux loués pour garantir les éventuelles créances du bailleur, notamment les réparations dues aux dégradations commises en fin de bail</w:t>
      </w:r>
      <w:r>
        <w:rPr>
          <w:rFonts w:ascii="Arial Narrow" w:hAnsi="Arial Narrow" w:cs="Arial"/>
          <w:bCs/>
          <w:sz w:val="28"/>
          <w:szCs w:val="28"/>
        </w:rPr>
        <w:t>. Dorénavant la caution est plafonnée à trois (03) mois</w:t>
      </w:r>
      <w:r w:rsidR="005A75A2">
        <w:rPr>
          <w:rFonts w:ascii="Arial Narrow" w:hAnsi="Arial Narrow" w:cs="Arial"/>
          <w:bCs/>
          <w:sz w:val="28"/>
          <w:szCs w:val="28"/>
        </w:rPr>
        <w:t xml:space="preserve">. </w:t>
      </w:r>
      <w:r>
        <w:rPr>
          <w:rFonts w:ascii="Arial Narrow" w:hAnsi="Arial Narrow" w:cs="Arial"/>
          <w:bCs/>
          <w:sz w:val="28"/>
          <w:szCs w:val="28"/>
        </w:rPr>
        <w:t xml:space="preserve"> </w:t>
      </w:r>
      <w:r w:rsidR="005A75A2">
        <w:rPr>
          <w:rFonts w:ascii="Arial Narrow" w:hAnsi="Arial Narrow" w:cs="Arial"/>
          <w:bCs/>
          <w:sz w:val="28"/>
          <w:szCs w:val="28"/>
        </w:rPr>
        <w:t>Elle</w:t>
      </w:r>
      <w:r>
        <w:rPr>
          <w:rFonts w:ascii="Arial Narrow" w:hAnsi="Arial Narrow" w:cs="Arial"/>
          <w:bCs/>
          <w:sz w:val="28"/>
          <w:szCs w:val="28"/>
        </w:rPr>
        <w:t xml:space="preserve"> peut être remplacée par une police d’assurance ou par une caution bancaire ;</w:t>
      </w:r>
    </w:p>
    <w:p w14:paraId="793FA70C" w14:textId="77777777" w:rsidR="00AF46E0" w:rsidRPr="00AF46E0" w:rsidRDefault="00AF46E0" w:rsidP="004B397C">
      <w:pPr>
        <w:spacing w:after="0"/>
        <w:ind w:left="708"/>
        <w:jc w:val="both"/>
        <w:rPr>
          <w:rFonts w:ascii="Arial Narrow" w:hAnsi="Arial Narrow" w:cs="Arial"/>
          <w:bCs/>
          <w:sz w:val="10"/>
          <w:szCs w:val="10"/>
        </w:rPr>
      </w:pPr>
    </w:p>
    <w:p w14:paraId="68BFA722" w14:textId="77777777" w:rsidR="00AF46E0" w:rsidRDefault="004B397C" w:rsidP="005A75A2">
      <w:pPr>
        <w:numPr>
          <w:ilvl w:val="0"/>
          <w:numId w:val="3"/>
        </w:numPr>
        <w:spacing w:after="0"/>
        <w:jc w:val="both"/>
        <w:rPr>
          <w:rFonts w:ascii="Arial Narrow" w:hAnsi="Arial Narrow" w:cs="Arial"/>
          <w:bCs/>
          <w:sz w:val="28"/>
          <w:szCs w:val="28"/>
        </w:rPr>
      </w:pPr>
      <w:r>
        <w:rPr>
          <w:rFonts w:ascii="Arial Narrow" w:hAnsi="Arial Narrow" w:cs="Arial"/>
          <w:b/>
          <w:sz w:val="28"/>
          <w:szCs w:val="28"/>
        </w:rPr>
        <w:t>2.2. Restitution dans un délai impératif de la caution ou du solde de la caution</w:t>
      </w:r>
      <w:r>
        <w:rPr>
          <w:rFonts w:ascii="Arial Narrow" w:hAnsi="Arial Narrow" w:cs="Arial"/>
          <w:bCs/>
          <w:sz w:val="28"/>
          <w:szCs w:val="28"/>
        </w:rPr>
        <w:t xml:space="preserve"> </w:t>
      </w:r>
      <w:r>
        <w:rPr>
          <w:rFonts w:ascii="Arial Narrow" w:hAnsi="Arial Narrow" w:cs="Arial"/>
          <w:b/>
          <w:sz w:val="28"/>
          <w:szCs w:val="28"/>
        </w:rPr>
        <w:t>à la fin du bail</w:t>
      </w:r>
      <w:r>
        <w:rPr>
          <w:rFonts w:ascii="Arial Narrow" w:hAnsi="Arial Narrow" w:cs="Arial"/>
          <w:bCs/>
          <w:sz w:val="28"/>
          <w:szCs w:val="28"/>
        </w:rPr>
        <w:t xml:space="preserve"> </w:t>
      </w:r>
      <w:r>
        <w:rPr>
          <w:rFonts w:ascii="Arial Narrow" w:hAnsi="Arial Narrow" w:cs="Arial"/>
          <w:b/>
          <w:sz w:val="28"/>
          <w:szCs w:val="28"/>
        </w:rPr>
        <w:t>(Article 6 al. 2) </w:t>
      </w:r>
      <w:r>
        <w:rPr>
          <w:rFonts w:ascii="Arial Narrow" w:hAnsi="Arial Narrow" w:cs="Arial"/>
          <w:bCs/>
          <w:sz w:val="28"/>
          <w:szCs w:val="28"/>
        </w:rPr>
        <w:t>: la caution ou le solde de la caution restant dû non restitué dans le délai prévu produit des intérêts au taux légal au profit du locataire.</w:t>
      </w:r>
    </w:p>
    <w:p w14:paraId="38B74BF3" w14:textId="19F86176" w:rsidR="005A75A2" w:rsidRPr="00AF46E0" w:rsidRDefault="004B397C" w:rsidP="00AF46E0">
      <w:pPr>
        <w:spacing w:after="0"/>
        <w:ind w:left="720"/>
        <w:jc w:val="both"/>
        <w:rPr>
          <w:rFonts w:ascii="Arial Narrow" w:hAnsi="Arial Narrow" w:cs="Arial"/>
          <w:bCs/>
          <w:sz w:val="10"/>
          <w:szCs w:val="10"/>
        </w:rPr>
      </w:pPr>
      <w:r>
        <w:rPr>
          <w:rFonts w:ascii="Arial Narrow" w:hAnsi="Arial Narrow" w:cs="Arial"/>
          <w:bCs/>
          <w:sz w:val="28"/>
          <w:szCs w:val="28"/>
        </w:rPr>
        <w:t xml:space="preserve"> </w:t>
      </w:r>
    </w:p>
    <w:p w14:paraId="21927663" w14:textId="6EE13D64" w:rsidR="004B397C" w:rsidRDefault="004B397C" w:rsidP="004B397C">
      <w:pPr>
        <w:numPr>
          <w:ilvl w:val="0"/>
          <w:numId w:val="3"/>
        </w:numPr>
        <w:spacing w:after="0"/>
        <w:jc w:val="both"/>
        <w:rPr>
          <w:rFonts w:ascii="Arial Narrow" w:hAnsi="Arial Narrow" w:cs="Arial"/>
          <w:bCs/>
          <w:sz w:val="28"/>
          <w:szCs w:val="28"/>
        </w:rPr>
      </w:pPr>
      <w:r>
        <w:rPr>
          <w:rFonts w:ascii="Arial Narrow" w:hAnsi="Arial Narrow" w:cs="Arial"/>
          <w:b/>
          <w:sz w:val="28"/>
          <w:szCs w:val="28"/>
        </w:rPr>
        <w:t>2.3.</w:t>
      </w:r>
      <w:r>
        <w:rPr>
          <w:rFonts w:ascii="Arial Narrow" w:hAnsi="Arial Narrow" w:cs="Arial"/>
          <w:bCs/>
          <w:sz w:val="28"/>
          <w:szCs w:val="28"/>
        </w:rPr>
        <w:t xml:space="preserve"> </w:t>
      </w:r>
      <w:r w:rsidR="002A1C5F">
        <w:rPr>
          <w:rFonts w:ascii="Arial Narrow" w:hAnsi="Arial Narrow" w:cs="Arial"/>
          <w:b/>
          <w:sz w:val="28"/>
          <w:szCs w:val="28"/>
        </w:rPr>
        <w:t>Le p</w:t>
      </w:r>
      <w:r>
        <w:rPr>
          <w:rFonts w:ascii="Arial Narrow" w:hAnsi="Arial Narrow" w:cs="Arial"/>
          <w:b/>
          <w:sz w:val="28"/>
          <w:szCs w:val="28"/>
        </w:rPr>
        <w:t>lafonnement de la garantie de loyer</w:t>
      </w:r>
      <w:r>
        <w:rPr>
          <w:rFonts w:ascii="Arial Narrow" w:hAnsi="Arial Narrow" w:cs="Arial"/>
          <w:bCs/>
          <w:sz w:val="28"/>
          <w:szCs w:val="28"/>
        </w:rPr>
        <w:t xml:space="preserve"> </w:t>
      </w:r>
      <w:r w:rsidR="005A75A2" w:rsidRPr="005A75A2">
        <w:rPr>
          <w:rFonts w:ascii="Arial Narrow" w:hAnsi="Arial Narrow" w:cs="Arial"/>
          <w:b/>
          <w:sz w:val="28"/>
          <w:szCs w:val="28"/>
        </w:rPr>
        <w:t>à 3</w:t>
      </w:r>
      <w:r w:rsidR="002A1C5F">
        <w:rPr>
          <w:rFonts w:ascii="Arial Narrow" w:hAnsi="Arial Narrow" w:cs="Arial"/>
          <w:b/>
          <w:sz w:val="28"/>
          <w:szCs w:val="28"/>
        </w:rPr>
        <w:t xml:space="preserve"> </w:t>
      </w:r>
      <w:r w:rsidR="005A75A2" w:rsidRPr="005A75A2">
        <w:rPr>
          <w:rFonts w:ascii="Arial Narrow" w:hAnsi="Arial Narrow" w:cs="Arial"/>
          <w:b/>
          <w:sz w:val="28"/>
          <w:szCs w:val="28"/>
        </w:rPr>
        <w:t>mois</w:t>
      </w:r>
      <w:r w:rsidR="005A75A2">
        <w:rPr>
          <w:rFonts w:ascii="Arial Narrow" w:hAnsi="Arial Narrow" w:cs="Arial"/>
          <w:bCs/>
          <w:sz w:val="28"/>
          <w:szCs w:val="28"/>
        </w:rPr>
        <w:t xml:space="preserve"> </w:t>
      </w:r>
      <w:r>
        <w:rPr>
          <w:rFonts w:ascii="Arial Narrow" w:hAnsi="Arial Narrow" w:cs="Arial"/>
          <w:b/>
          <w:sz w:val="28"/>
          <w:szCs w:val="28"/>
        </w:rPr>
        <w:t>(Article 8</w:t>
      </w:r>
      <w:r>
        <w:rPr>
          <w:rFonts w:ascii="Arial Narrow" w:hAnsi="Arial Narrow" w:cs="Arial"/>
          <w:bCs/>
          <w:sz w:val="28"/>
          <w:szCs w:val="28"/>
        </w:rPr>
        <w:t xml:space="preserve">) : </w:t>
      </w:r>
    </w:p>
    <w:p w14:paraId="1FAF1892" w14:textId="13D3C302" w:rsidR="005A75A2" w:rsidRDefault="004B397C" w:rsidP="007B6FB5">
      <w:pPr>
        <w:spacing w:after="0"/>
        <w:ind w:left="720"/>
        <w:jc w:val="both"/>
        <w:rPr>
          <w:rFonts w:ascii="Arial Narrow" w:hAnsi="Arial Narrow" w:cs="Arial"/>
          <w:sz w:val="28"/>
          <w:szCs w:val="28"/>
          <w:lang w:val="fr-CH"/>
        </w:rPr>
      </w:pPr>
      <w:r>
        <w:rPr>
          <w:rFonts w:ascii="Arial Narrow" w:hAnsi="Arial Narrow" w:cs="Arial"/>
          <w:bCs/>
          <w:sz w:val="28"/>
          <w:szCs w:val="28"/>
          <w:lang w:val="fr-CH"/>
        </w:rPr>
        <w:t xml:space="preserve">La </w:t>
      </w:r>
      <w:r w:rsidR="00E41511">
        <w:rPr>
          <w:rFonts w:ascii="Arial Narrow" w:hAnsi="Arial Narrow" w:cs="Arial"/>
          <w:bCs/>
          <w:sz w:val="28"/>
          <w:szCs w:val="28"/>
          <w:lang w:val="fr-CH"/>
        </w:rPr>
        <w:t>g</w:t>
      </w:r>
      <w:r>
        <w:rPr>
          <w:rFonts w:ascii="Arial Narrow" w:hAnsi="Arial Narrow" w:cs="Arial"/>
          <w:bCs/>
          <w:sz w:val="28"/>
          <w:szCs w:val="28"/>
          <w:lang w:val="fr-CH"/>
        </w:rPr>
        <w:t>arantie de loyer </w:t>
      </w:r>
      <w:r w:rsidR="00E41511">
        <w:rPr>
          <w:rFonts w:ascii="Arial Narrow" w:hAnsi="Arial Narrow" w:cs="Arial"/>
          <w:bCs/>
          <w:sz w:val="28"/>
          <w:szCs w:val="28"/>
          <w:lang w:val="fr-CH"/>
        </w:rPr>
        <w:t>se définit comme</w:t>
      </w:r>
      <w:r>
        <w:rPr>
          <w:rFonts w:ascii="Arial Narrow" w:hAnsi="Arial Narrow" w:cs="Arial"/>
          <w:b/>
          <w:sz w:val="28"/>
          <w:szCs w:val="28"/>
          <w:lang w:val="fr-CH"/>
        </w:rPr>
        <w:t xml:space="preserve"> </w:t>
      </w:r>
      <w:r>
        <w:rPr>
          <w:rFonts w:ascii="Arial Narrow" w:hAnsi="Arial Narrow" w:cs="Arial"/>
          <w:sz w:val="28"/>
          <w:szCs w:val="28"/>
          <w:lang w:val="fr-CH"/>
        </w:rPr>
        <w:t xml:space="preserve">la somme que doit verser le locataire au bénéfice du bailleur à la signature du contrat de bail pour couvrir </w:t>
      </w:r>
      <w:r w:rsidR="005A75A2">
        <w:rPr>
          <w:rFonts w:ascii="Arial Narrow" w:hAnsi="Arial Narrow" w:cs="Arial"/>
          <w:sz w:val="28"/>
          <w:szCs w:val="28"/>
          <w:lang w:val="fr-CH"/>
        </w:rPr>
        <w:t>principalement les mois de préavis de congés du locataire et</w:t>
      </w:r>
      <w:r w:rsidR="00E41511">
        <w:rPr>
          <w:rFonts w:ascii="Arial Narrow" w:hAnsi="Arial Narrow" w:cs="Arial"/>
          <w:sz w:val="28"/>
          <w:szCs w:val="28"/>
          <w:lang w:val="fr-CH"/>
        </w:rPr>
        <w:t>,</w:t>
      </w:r>
      <w:r w:rsidR="005A75A2">
        <w:rPr>
          <w:rFonts w:ascii="Arial Narrow" w:hAnsi="Arial Narrow" w:cs="Arial"/>
          <w:sz w:val="28"/>
          <w:szCs w:val="28"/>
          <w:lang w:val="fr-CH"/>
        </w:rPr>
        <w:t xml:space="preserve"> accessoirement</w:t>
      </w:r>
      <w:r w:rsidR="00E41511">
        <w:rPr>
          <w:rFonts w:ascii="Arial Narrow" w:hAnsi="Arial Narrow" w:cs="Arial"/>
          <w:sz w:val="28"/>
          <w:szCs w:val="28"/>
          <w:lang w:val="fr-CH"/>
        </w:rPr>
        <w:t>,</w:t>
      </w:r>
      <w:r w:rsidR="005A75A2">
        <w:rPr>
          <w:rFonts w:ascii="Arial Narrow" w:hAnsi="Arial Narrow" w:cs="Arial"/>
          <w:sz w:val="28"/>
          <w:szCs w:val="28"/>
          <w:lang w:val="fr-CH"/>
        </w:rPr>
        <w:t xml:space="preserve"> les mois </w:t>
      </w:r>
      <w:r w:rsidR="00E41511" w:rsidRPr="00E41511">
        <w:rPr>
          <w:rFonts w:ascii="Arial Narrow" w:hAnsi="Arial Narrow" w:cs="Arial"/>
          <w:sz w:val="28"/>
          <w:szCs w:val="28"/>
          <w:lang w:val="fr-CH"/>
        </w:rPr>
        <w:t>ou</w:t>
      </w:r>
      <w:r w:rsidR="00E41511" w:rsidRPr="00E41511">
        <w:rPr>
          <w:rFonts w:ascii="Arial Narrow" w:hAnsi="Arial Narrow"/>
          <w:sz w:val="28"/>
          <w:szCs w:val="28"/>
        </w:rPr>
        <w:t xml:space="preserve"> le</w:t>
      </w:r>
      <w:r w:rsidR="00E41511">
        <w:rPr>
          <w:rFonts w:ascii="Arial Narrow" w:hAnsi="Arial Narrow" w:cs="Arial"/>
          <w:sz w:val="28"/>
          <w:szCs w:val="28"/>
          <w:lang w:val="fr-CH"/>
        </w:rPr>
        <w:t xml:space="preserve"> locataire éprouverait des difficultés pour</w:t>
      </w:r>
      <w:r w:rsidR="005A75A2">
        <w:rPr>
          <w:rFonts w:ascii="Arial Narrow" w:hAnsi="Arial Narrow" w:cs="Arial"/>
          <w:sz w:val="28"/>
          <w:szCs w:val="28"/>
          <w:lang w:val="fr-CH"/>
        </w:rPr>
        <w:t xml:space="preserve"> payer son loyer. </w:t>
      </w:r>
      <w:r w:rsidR="00E41511">
        <w:rPr>
          <w:rFonts w:ascii="Arial Narrow" w:hAnsi="Arial Narrow" w:cs="Arial"/>
          <w:sz w:val="28"/>
          <w:szCs w:val="28"/>
          <w:lang w:val="fr-CH"/>
        </w:rPr>
        <w:t xml:space="preserve">Lorsqu’il </w:t>
      </w:r>
      <w:r w:rsidR="007B6FB5">
        <w:rPr>
          <w:rFonts w:ascii="Arial Narrow" w:hAnsi="Arial Narrow" w:cs="Arial"/>
          <w:sz w:val="28"/>
          <w:szCs w:val="28"/>
          <w:lang w:val="fr-CH"/>
        </w:rPr>
        <w:t xml:space="preserve">arrive à ce dernier de </w:t>
      </w:r>
      <w:r w:rsidR="007B6FB5">
        <w:rPr>
          <w:rFonts w:ascii="Arial Narrow" w:hAnsi="Arial Narrow" w:cs="Arial"/>
          <w:sz w:val="28"/>
          <w:szCs w:val="28"/>
          <w:lang w:val="fr-CH"/>
        </w:rPr>
        <w:lastRenderedPageBreak/>
        <w:t xml:space="preserve">bruler une partie de la garantie de loyer au cours du bail, </w:t>
      </w:r>
      <w:r w:rsidR="005A75A2">
        <w:rPr>
          <w:rFonts w:ascii="Arial Narrow" w:hAnsi="Arial Narrow" w:cs="Arial"/>
          <w:sz w:val="28"/>
          <w:szCs w:val="28"/>
          <w:lang w:val="fr-CH"/>
        </w:rPr>
        <w:t xml:space="preserve">obligation lui est faite de la reconstituer </w:t>
      </w:r>
      <w:r w:rsidR="007B6FB5">
        <w:rPr>
          <w:rFonts w:ascii="Arial Narrow" w:hAnsi="Arial Narrow" w:cs="Arial"/>
          <w:sz w:val="28"/>
          <w:szCs w:val="28"/>
          <w:lang w:val="fr-CH"/>
        </w:rPr>
        <w:t>intégral</w:t>
      </w:r>
      <w:r w:rsidR="005A75A2">
        <w:rPr>
          <w:rFonts w:ascii="Arial Narrow" w:hAnsi="Arial Narrow" w:cs="Arial"/>
          <w:sz w:val="28"/>
          <w:szCs w:val="28"/>
          <w:lang w:val="fr-CH"/>
        </w:rPr>
        <w:t>ement.</w:t>
      </w:r>
      <w:r w:rsidR="007B6FB5">
        <w:rPr>
          <w:rFonts w:ascii="Arial Narrow" w:hAnsi="Arial Narrow" w:cs="Arial"/>
          <w:sz w:val="28"/>
          <w:szCs w:val="28"/>
          <w:lang w:val="fr-CH"/>
        </w:rPr>
        <w:t xml:space="preserve"> </w:t>
      </w:r>
      <w:r w:rsidR="005A75A2">
        <w:rPr>
          <w:rFonts w:ascii="Arial Narrow" w:hAnsi="Arial Narrow" w:cs="Arial"/>
          <w:sz w:val="28"/>
          <w:szCs w:val="28"/>
          <w:lang w:val="fr-CH"/>
        </w:rPr>
        <w:t>A défaut, la procédure de résiliation peut être enclenchée par le bailleur</w:t>
      </w:r>
      <w:r w:rsidR="00AF46E0">
        <w:rPr>
          <w:rFonts w:ascii="Arial Narrow" w:hAnsi="Arial Narrow" w:cs="Arial"/>
          <w:sz w:val="28"/>
          <w:szCs w:val="28"/>
          <w:lang w:val="fr-CH"/>
        </w:rPr>
        <w:t>.</w:t>
      </w:r>
    </w:p>
    <w:p w14:paraId="62F0AD68" w14:textId="77777777" w:rsidR="00AF46E0" w:rsidRPr="00AF46E0" w:rsidRDefault="00AF46E0" w:rsidP="002A1C5F">
      <w:pPr>
        <w:spacing w:after="0"/>
        <w:ind w:left="720"/>
        <w:jc w:val="both"/>
        <w:rPr>
          <w:rFonts w:ascii="Arial Narrow" w:hAnsi="Arial Narrow" w:cs="Arial"/>
          <w:sz w:val="10"/>
          <w:szCs w:val="10"/>
          <w:lang w:val="fr-CH"/>
        </w:rPr>
      </w:pPr>
    </w:p>
    <w:p w14:paraId="14F264CC" w14:textId="46394BEB" w:rsidR="004B397C" w:rsidRDefault="004B397C" w:rsidP="004B397C">
      <w:pPr>
        <w:numPr>
          <w:ilvl w:val="0"/>
          <w:numId w:val="3"/>
        </w:numPr>
        <w:spacing w:after="0"/>
        <w:jc w:val="both"/>
        <w:rPr>
          <w:rFonts w:ascii="Arial Narrow" w:hAnsi="Arial Narrow" w:cs="Arial"/>
          <w:bCs/>
          <w:sz w:val="28"/>
          <w:szCs w:val="28"/>
        </w:rPr>
      </w:pPr>
      <w:r>
        <w:rPr>
          <w:rFonts w:ascii="Arial Narrow" w:hAnsi="Arial Narrow" w:cs="Arial"/>
          <w:b/>
          <w:sz w:val="28"/>
          <w:szCs w:val="28"/>
        </w:rPr>
        <w:t>2.4.</w:t>
      </w:r>
      <w:r>
        <w:rPr>
          <w:rFonts w:ascii="Arial Narrow" w:hAnsi="Arial Narrow" w:cs="Arial"/>
          <w:bCs/>
          <w:sz w:val="28"/>
          <w:szCs w:val="28"/>
        </w:rPr>
        <w:t xml:space="preserve"> </w:t>
      </w:r>
      <w:r>
        <w:rPr>
          <w:rFonts w:ascii="Arial Narrow" w:hAnsi="Arial Narrow" w:cs="Arial"/>
          <w:b/>
          <w:sz w:val="28"/>
          <w:szCs w:val="28"/>
        </w:rPr>
        <w:t>Le bail d’habitation est écrit</w:t>
      </w:r>
      <w:r>
        <w:rPr>
          <w:rFonts w:ascii="Arial Narrow" w:hAnsi="Arial Narrow" w:cs="Arial"/>
          <w:bCs/>
          <w:sz w:val="28"/>
          <w:szCs w:val="28"/>
        </w:rPr>
        <w:t xml:space="preserve"> </w:t>
      </w:r>
      <w:r>
        <w:rPr>
          <w:rFonts w:ascii="Arial Narrow" w:hAnsi="Arial Narrow" w:cs="Arial"/>
          <w:b/>
          <w:sz w:val="28"/>
          <w:szCs w:val="28"/>
        </w:rPr>
        <w:t>(Article 9 al 1</w:t>
      </w:r>
      <w:r>
        <w:rPr>
          <w:rFonts w:ascii="Arial Narrow" w:hAnsi="Arial Narrow" w:cs="Arial"/>
          <w:bCs/>
          <w:sz w:val="28"/>
          <w:szCs w:val="28"/>
        </w:rPr>
        <w:t>) : Obligation est faite aux parties de rédiger le contrat de bail.</w:t>
      </w:r>
    </w:p>
    <w:p w14:paraId="1F2247BF" w14:textId="77777777" w:rsidR="00AF46E0" w:rsidRPr="00AF46E0" w:rsidRDefault="00AF46E0" w:rsidP="00AF46E0">
      <w:pPr>
        <w:spacing w:after="0"/>
        <w:ind w:left="720"/>
        <w:jc w:val="both"/>
        <w:rPr>
          <w:rFonts w:ascii="Arial Narrow" w:hAnsi="Arial Narrow" w:cs="Arial"/>
          <w:bCs/>
          <w:sz w:val="10"/>
          <w:szCs w:val="10"/>
        </w:rPr>
      </w:pPr>
    </w:p>
    <w:p w14:paraId="3211B2B0" w14:textId="012727E8" w:rsidR="004B397C" w:rsidRDefault="004B397C" w:rsidP="004B397C">
      <w:pPr>
        <w:numPr>
          <w:ilvl w:val="0"/>
          <w:numId w:val="3"/>
        </w:numPr>
        <w:spacing w:after="0"/>
        <w:jc w:val="both"/>
        <w:rPr>
          <w:rFonts w:ascii="Arial Narrow" w:hAnsi="Arial Narrow" w:cs="Arial"/>
          <w:bCs/>
          <w:sz w:val="28"/>
          <w:szCs w:val="28"/>
        </w:rPr>
      </w:pPr>
      <w:r>
        <w:rPr>
          <w:rFonts w:ascii="Arial Narrow" w:hAnsi="Arial Narrow" w:cs="Arial"/>
          <w:b/>
          <w:sz w:val="28"/>
          <w:szCs w:val="28"/>
        </w:rPr>
        <w:t>2.5.</w:t>
      </w:r>
      <w:r>
        <w:rPr>
          <w:rFonts w:ascii="Arial Narrow" w:hAnsi="Arial Narrow" w:cs="Arial"/>
          <w:bCs/>
          <w:color w:val="4472C4"/>
          <w:sz w:val="28"/>
          <w:szCs w:val="28"/>
        </w:rPr>
        <w:t xml:space="preserve"> </w:t>
      </w:r>
      <w:r>
        <w:rPr>
          <w:rFonts w:ascii="Arial Narrow" w:hAnsi="Arial Narrow" w:cs="Arial"/>
          <w:b/>
          <w:sz w:val="28"/>
          <w:szCs w:val="28"/>
        </w:rPr>
        <w:t>De la rétribution du professionnel de l’immobilier</w:t>
      </w:r>
      <w:r>
        <w:rPr>
          <w:rFonts w:ascii="Arial Narrow" w:hAnsi="Arial Narrow" w:cs="Arial"/>
          <w:bCs/>
          <w:sz w:val="28"/>
          <w:szCs w:val="28"/>
        </w:rPr>
        <w:t xml:space="preserve"> </w:t>
      </w:r>
      <w:r>
        <w:rPr>
          <w:rFonts w:ascii="Arial Narrow" w:hAnsi="Arial Narrow" w:cs="Arial"/>
          <w:b/>
          <w:sz w:val="28"/>
          <w:szCs w:val="28"/>
        </w:rPr>
        <w:t>(Article 11</w:t>
      </w:r>
      <w:r>
        <w:rPr>
          <w:rFonts w:ascii="Arial Narrow" w:hAnsi="Arial Narrow" w:cs="Arial"/>
          <w:bCs/>
          <w:sz w:val="28"/>
          <w:szCs w:val="28"/>
        </w:rPr>
        <w:t>) : Les honoraires du professionnel de l’immobilier ayant intervenu dans les négociations et la rédaction du contrat sont supportés à part égales par le bailleur et le locataire.</w:t>
      </w:r>
    </w:p>
    <w:p w14:paraId="5632A7A0" w14:textId="77777777" w:rsidR="00AF46E0" w:rsidRPr="00AF46E0" w:rsidRDefault="00AF46E0" w:rsidP="00AF46E0">
      <w:pPr>
        <w:spacing w:after="0"/>
        <w:jc w:val="both"/>
        <w:rPr>
          <w:rFonts w:ascii="Arial Narrow" w:hAnsi="Arial Narrow" w:cs="Arial"/>
          <w:bCs/>
          <w:sz w:val="10"/>
          <w:szCs w:val="10"/>
        </w:rPr>
      </w:pPr>
    </w:p>
    <w:p w14:paraId="6C00D5D6" w14:textId="2A5022DC" w:rsidR="004B397C" w:rsidRPr="00AF46E0" w:rsidRDefault="004B397C" w:rsidP="004B397C">
      <w:pPr>
        <w:numPr>
          <w:ilvl w:val="0"/>
          <w:numId w:val="3"/>
        </w:numPr>
        <w:spacing w:after="0"/>
        <w:jc w:val="both"/>
        <w:rPr>
          <w:rFonts w:ascii="Arial Narrow" w:eastAsia="Calibri" w:hAnsi="Arial Narrow" w:cs="Arial"/>
          <w:bCs/>
          <w:color w:val="4472C4"/>
          <w:sz w:val="28"/>
          <w:szCs w:val="28"/>
        </w:rPr>
      </w:pPr>
      <w:r>
        <w:rPr>
          <w:rFonts w:ascii="Arial Narrow" w:hAnsi="Arial Narrow" w:cs="Arial"/>
          <w:b/>
          <w:sz w:val="28"/>
          <w:szCs w:val="28"/>
        </w:rPr>
        <w:t>2.6.</w:t>
      </w:r>
      <w:r>
        <w:rPr>
          <w:rFonts w:ascii="Arial Narrow" w:hAnsi="Arial Narrow" w:cs="Arial"/>
          <w:bCs/>
          <w:color w:val="4472C4"/>
          <w:sz w:val="28"/>
          <w:szCs w:val="28"/>
        </w:rPr>
        <w:t xml:space="preserve"> </w:t>
      </w:r>
      <w:r>
        <w:rPr>
          <w:rFonts w:ascii="Arial Narrow" w:hAnsi="Arial Narrow" w:cs="Arial"/>
          <w:b/>
          <w:sz w:val="28"/>
          <w:szCs w:val="28"/>
        </w:rPr>
        <w:t>Obligation de reconstituer la garantie de loyer</w:t>
      </w:r>
      <w:r>
        <w:rPr>
          <w:rFonts w:ascii="Arial Narrow" w:hAnsi="Arial Narrow" w:cs="Arial"/>
          <w:bCs/>
          <w:sz w:val="28"/>
          <w:szCs w:val="28"/>
        </w:rPr>
        <w:t xml:space="preserve"> </w:t>
      </w:r>
      <w:r>
        <w:rPr>
          <w:rFonts w:ascii="Arial Narrow" w:hAnsi="Arial Narrow" w:cs="Arial"/>
          <w:b/>
          <w:sz w:val="28"/>
          <w:szCs w:val="28"/>
        </w:rPr>
        <w:t>(Article 23</w:t>
      </w:r>
      <w:r>
        <w:rPr>
          <w:rFonts w:ascii="Arial Narrow" w:hAnsi="Arial Narrow" w:cs="Arial"/>
          <w:bCs/>
          <w:sz w:val="28"/>
          <w:szCs w:val="28"/>
        </w:rPr>
        <w:t>) : possibilité pour le bailleur de déclencher la procédure de résiliation du bail après un mois de non payement de loyer lorsque la garantie de loyer n’est pas entièrement reconstituée</w:t>
      </w:r>
      <w:r w:rsidR="00AF46E0">
        <w:rPr>
          <w:rFonts w:ascii="Arial Narrow" w:hAnsi="Arial Narrow" w:cs="Arial"/>
          <w:bCs/>
          <w:sz w:val="28"/>
          <w:szCs w:val="28"/>
        </w:rPr>
        <w:t>.</w:t>
      </w:r>
    </w:p>
    <w:p w14:paraId="5F561535" w14:textId="77777777" w:rsidR="00AF46E0" w:rsidRPr="00AF46E0" w:rsidRDefault="00AF46E0" w:rsidP="00AF46E0">
      <w:pPr>
        <w:spacing w:after="0"/>
        <w:jc w:val="both"/>
        <w:rPr>
          <w:rFonts w:ascii="Arial Narrow" w:eastAsia="Calibri" w:hAnsi="Arial Narrow" w:cs="Arial"/>
          <w:bCs/>
          <w:color w:val="4472C4"/>
          <w:sz w:val="10"/>
          <w:szCs w:val="10"/>
        </w:rPr>
      </w:pPr>
    </w:p>
    <w:p w14:paraId="77187304" w14:textId="27958A52" w:rsidR="004B397C" w:rsidRPr="00AF46E0" w:rsidRDefault="004B397C" w:rsidP="004B397C">
      <w:pPr>
        <w:numPr>
          <w:ilvl w:val="0"/>
          <w:numId w:val="3"/>
        </w:numPr>
        <w:spacing w:after="0"/>
        <w:jc w:val="both"/>
        <w:rPr>
          <w:rFonts w:ascii="Arial Narrow" w:eastAsia="Calibri" w:hAnsi="Arial Narrow" w:cs="Arial"/>
          <w:bCs/>
          <w:sz w:val="28"/>
          <w:szCs w:val="28"/>
        </w:rPr>
      </w:pPr>
      <w:r>
        <w:rPr>
          <w:rFonts w:ascii="Arial Narrow" w:hAnsi="Arial Narrow" w:cs="Arial"/>
          <w:b/>
          <w:sz w:val="28"/>
          <w:szCs w:val="28"/>
        </w:rPr>
        <w:t xml:space="preserve">2.7. </w:t>
      </w:r>
      <w:r w:rsidR="002A1C5F">
        <w:rPr>
          <w:rFonts w:ascii="Arial Narrow" w:hAnsi="Arial Narrow" w:cs="Arial"/>
          <w:b/>
          <w:sz w:val="28"/>
          <w:szCs w:val="28"/>
        </w:rPr>
        <w:t xml:space="preserve">Un </w:t>
      </w:r>
      <w:r>
        <w:rPr>
          <w:rFonts w:ascii="Arial Narrow" w:hAnsi="Arial Narrow" w:cs="Arial"/>
          <w:b/>
          <w:sz w:val="28"/>
          <w:szCs w:val="28"/>
        </w:rPr>
        <w:t>Contrat-type</w:t>
      </w:r>
      <w:r w:rsidR="00AF46E0">
        <w:rPr>
          <w:rFonts w:ascii="Arial Narrow" w:hAnsi="Arial Narrow" w:cs="Arial"/>
          <w:b/>
          <w:sz w:val="28"/>
          <w:szCs w:val="28"/>
        </w:rPr>
        <w:t xml:space="preserve"> à utiliser</w:t>
      </w:r>
      <w:r>
        <w:rPr>
          <w:rFonts w:ascii="Arial Narrow" w:hAnsi="Arial Narrow" w:cs="Arial"/>
          <w:bCs/>
          <w:sz w:val="28"/>
          <w:szCs w:val="28"/>
        </w:rPr>
        <w:t xml:space="preserve"> </w:t>
      </w:r>
      <w:r>
        <w:rPr>
          <w:rFonts w:ascii="Arial Narrow" w:hAnsi="Arial Narrow" w:cs="Arial"/>
          <w:b/>
          <w:sz w:val="28"/>
          <w:szCs w:val="28"/>
        </w:rPr>
        <w:t>(Article 30)</w:t>
      </w:r>
      <w:r>
        <w:rPr>
          <w:rFonts w:ascii="Arial Narrow" w:hAnsi="Arial Narrow" w:cs="Arial"/>
          <w:bCs/>
          <w:sz w:val="28"/>
          <w:szCs w:val="28"/>
        </w:rPr>
        <w:t> : Désormais le contrat de bail d’habitation est élaboré suivant un modèle établi par le ministère chargé de l’habitat et disponible dans les mairies, et sur la page internet de ces institutions.</w:t>
      </w:r>
    </w:p>
    <w:p w14:paraId="5A0B2160" w14:textId="77777777" w:rsidR="00AF46E0" w:rsidRPr="00AF46E0" w:rsidRDefault="00AF46E0" w:rsidP="00AF46E0">
      <w:pPr>
        <w:spacing w:after="0"/>
        <w:jc w:val="both"/>
        <w:rPr>
          <w:rFonts w:ascii="Arial Narrow" w:eastAsia="Calibri" w:hAnsi="Arial Narrow" w:cs="Arial"/>
          <w:bCs/>
          <w:sz w:val="10"/>
          <w:szCs w:val="10"/>
        </w:rPr>
      </w:pPr>
    </w:p>
    <w:p w14:paraId="00015F76" w14:textId="77777777" w:rsidR="004B397C" w:rsidRDefault="004B397C" w:rsidP="004B397C">
      <w:pPr>
        <w:numPr>
          <w:ilvl w:val="0"/>
          <w:numId w:val="3"/>
        </w:numPr>
        <w:spacing w:after="0"/>
        <w:jc w:val="both"/>
        <w:rPr>
          <w:rFonts w:ascii="Arial Narrow" w:hAnsi="Arial Narrow" w:cs="Arial"/>
          <w:bCs/>
          <w:sz w:val="28"/>
          <w:szCs w:val="28"/>
        </w:rPr>
      </w:pPr>
      <w:r>
        <w:rPr>
          <w:rFonts w:ascii="Arial Narrow" w:hAnsi="Arial Narrow" w:cs="Arial"/>
          <w:b/>
          <w:sz w:val="28"/>
          <w:szCs w:val="28"/>
        </w:rPr>
        <w:t>2.8. Des sanctions</w:t>
      </w:r>
      <w:r>
        <w:rPr>
          <w:rFonts w:ascii="Arial Narrow" w:hAnsi="Arial Narrow" w:cs="Arial"/>
          <w:bCs/>
          <w:sz w:val="28"/>
          <w:szCs w:val="28"/>
        </w:rPr>
        <w:t xml:space="preserve"> </w:t>
      </w:r>
      <w:r>
        <w:rPr>
          <w:rFonts w:ascii="Arial Narrow" w:hAnsi="Arial Narrow" w:cs="Arial"/>
          <w:b/>
          <w:sz w:val="28"/>
          <w:szCs w:val="28"/>
        </w:rPr>
        <w:t>(Article 31)</w:t>
      </w:r>
      <w:r>
        <w:rPr>
          <w:rFonts w:ascii="Arial Narrow" w:hAnsi="Arial Narrow" w:cs="Arial"/>
          <w:bCs/>
          <w:sz w:val="28"/>
          <w:szCs w:val="28"/>
        </w:rPr>
        <w:t> : Des sanctions pour dissuader tout bailleur qui exige un dépôt de caution ou une garantie de loyer supérieur à celui fixé par le décret.</w:t>
      </w:r>
    </w:p>
    <w:p w14:paraId="4FB7E0D9" w14:textId="77777777" w:rsidR="004B397C" w:rsidRDefault="004B397C" w:rsidP="004B397C">
      <w:pPr>
        <w:pStyle w:val="Paragraphedeliste"/>
        <w:spacing w:after="240"/>
        <w:ind w:left="360"/>
        <w:jc w:val="both"/>
        <w:rPr>
          <w:rFonts w:ascii="Arial Narrow" w:hAnsi="Arial Narrow" w:cs="Calibri"/>
          <w:b/>
          <w:sz w:val="28"/>
          <w:szCs w:val="28"/>
        </w:rPr>
      </w:pPr>
    </w:p>
    <w:p w14:paraId="5C39BA66" w14:textId="77777777" w:rsidR="004B397C" w:rsidRDefault="004B397C" w:rsidP="004B397C">
      <w:pPr>
        <w:pStyle w:val="Paragraphedeliste"/>
        <w:numPr>
          <w:ilvl w:val="0"/>
          <w:numId w:val="4"/>
        </w:numPr>
        <w:spacing w:after="240"/>
        <w:jc w:val="both"/>
        <w:rPr>
          <w:rFonts w:ascii="Arial Narrow" w:hAnsi="Arial Narrow" w:cs="Calibri"/>
          <w:b/>
          <w:sz w:val="28"/>
          <w:szCs w:val="28"/>
        </w:rPr>
      </w:pPr>
      <w:r>
        <w:rPr>
          <w:rFonts w:ascii="Arial Narrow" w:hAnsi="Arial Narrow" w:cs="Calibri"/>
          <w:b/>
          <w:sz w:val="28"/>
          <w:szCs w:val="28"/>
        </w:rPr>
        <w:t xml:space="preserve">Perspectives </w:t>
      </w:r>
    </w:p>
    <w:p w14:paraId="2DB0D364" w14:textId="77777777" w:rsidR="004B397C" w:rsidRDefault="004B397C" w:rsidP="004B397C">
      <w:pPr>
        <w:jc w:val="both"/>
        <w:rPr>
          <w:rFonts w:ascii="Arial Narrow" w:hAnsi="Arial Narrow" w:cs="Arial"/>
          <w:sz w:val="28"/>
          <w:szCs w:val="28"/>
        </w:rPr>
      </w:pPr>
      <w:r>
        <w:rPr>
          <w:rFonts w:ascii="Arial Narrow" w:hAnsi="Arial Narrow" w:cs="Arial"/>
          <w:sz w:val="28"/>
          <w:szCs w:val="28"/>
        </w:rPr>
        <w:t xml:space="preserve">Le décret s’applique dans une première phase dans le Grand Lomé. Un décret pris en conseil des ministres détermine les modalités de son application dans les autres villes du pays après une évaluation. </w:t>
      </w:r>
    </w:p>
    <w:p w14:paraId="73AA723A" w14:textId="77777777" w:rsidR="004B397C" w:rsidRDefault="004B397C" w:rsidP="004B397C">
      <w:pPr>
        <w:pStyle w:val="Paragraphedeliste"/>
        <w:numPr>
          <w:ilvl w:val="0"/>
          <w:numId w:val="4"/>
        </w:numPr>
        <w:jc w:val="both"/>
        <w:rPr>
          <w:rFonts w:ascii="Arial Narrow" w:hAnsi="Arial Narrow" w:cs="Calibri"/>
          <w:b/>
          <w:sz w:val="28"/>
          <w:szCs w:val="28"/>
        </w:rPr>
      </w:pPr>
      <w:r>
        <w:rPr>
          <w:rFonts w:ascii="Arial Narrow" w:hAnsi="Arial Narrow" w:cs="Calibri"/>
          <w:b/>
          <w:sz w:val="28"/>
          <w:szCs w:val="28"/>
        </w:rPr>
        <w:t>Plan média envisagé</w:t>
      </w:r>
    </w:p>
    <w:p w14:paraId="6CECFF2C" w14:textId="77777777" w:rsidR="004B397C" w:rsidRDefault="004B397C" w:rsidP="004B397C">
      <w:pPr>
        <w:pStyle w:val="Paragraphedeliste"/>
        <w:jc w:val="both"/>
        <w:rPr>
          <w:rFonts w:ascii="Arial Narrow" w:hAnsi="Arial Narrow" w:cs="Calibri"/>
          <w:b/>
          <w:sz w:val="28"/>
          <w:szCs w:val="28"/>
        </w:rPr>
      </w:pPr>
    </w:p>
    <w:p w14:paraId="5B062E99" w14:textId="77777777" w:rsidR="004B397C" w:rsidRDefault="004B397C" w:rsidP="004B397C">
      <w:pPr>
        <w:pStyle w:val="Paragraphedeliste"/>
        <w:spacing w:line="256" w:lineRule="auto"/>
        <w:ind w:left="360"/>
        <w:rPr>
          <w:rFonts w:ascii="Arial Narrow" w:hAnsi="Arial Narrow"/>
          <w:sz w:val="28"/>
          <w:szCs w:val="28"/>
        </w:rPr>
      </w:pPr>
      <w:r>
        <w:rPr>
          <w:rFonts w:ascii="Arial Narrow" w:hAnsi="Arial Narrow"/>
          <w:sz w:val="28"/>
          <w:szCs w:val="28"/>
        </w:rPr>
        <w:t>Le plan média prévoit :</w:t>
      </w:r>
    </w:p>
    <w:p w14:paraId="173687EA" w14:textId="77777777" w:rsidR="004B397C" w:rsidRDefault="004B397C" w:rsidP="004B397C">
      <w:pPr>
        <w:pStyle w:val="Paragraphedeliste"/>
        <w:numPr>
          <w:ilvl w:val="0"/>
          <w:numId w:val="3"/>
        </w:numPr>
        <w:spacing w:after="160" w:line="256" w:lineRule="auto"/>
        <w:rPr>
          <w:rFonts w:ascii="Arial Narrow" w:hAnsi="Arial Narrow"/>
          <w:sz w:val="28"/>
          <w:szCs w:val="28"/>
        </w:rPr>
      </w:pPr>
      <w:r>
        <w:rPr>
          <w:rFonts w:ascii="Arial Narrow" w:hAnsi="Arial Narrow"/>
          <w:sz w:val="28"/>
          <w:szCs w:val="28"/>
        </w:rPr>
        <w:t xml:space="preserve"> Une campagne de communication sur les médias publics et privés de la place : TVT, Radio Lomé, Togo-Presse, New World TV, </w:t>
      </w:r>
      <w:proofErr w:type="spellStart"/>
      <w:r>
        <w:rPr>
          <w:rFonts w:ascii="Arial Narrow" w:hAnsi="Arial Narrow"/>
          <w:sz w:val="28"/>
          <w:szCs w:val="28"/>
        </w:rPr>
        <w:t>Kanal</w:t>
      </w:r>
      <w:proofErr w:type="spellEnd"/>
      <w:r>
        <w:rPr>
          <w:rFonts w:ascii="Arial Narrow" w:hAnsi="Arial Narrow"/>
          <w:sz w:val="28"/>
          <w:szCs w:val="28"/>
        </w:rPr>
        <w:t xml:space="preserve"> FM, Victoire FM, Nana FM, TV2, et Presses en ligne.</w:t>
      </w:r>
    </w:p>
    <w:p w14:paraId="2208D7CE" w14:textId="77777777" w:rsidR="004B397C" w:rsidRDefault="004B397C" w:rsidP="004B397C">
      <w:pPr>
        <w:pStyle w:val="Paragraphedeliste"/>
        <w:numPr>
          <w:ilvl w:val="0"/>
          <w:numId w:val="3"/>
        </w:numPr>
        <w:spacing w:after="160" w:line="256" w:lineRule="auto"/>
        <w:rPr>
          <w:rFonts w:ascii="Arial Narrow" w:hAnsi="Arial Narrow"/>
          <w:sz w:val="28"/>
          <w:szCs w:val="28"/>
        </w:rPr>
      </w:pPr>
      <w:r>
        <w:rPr>
          <w:rFonts w:ascii="Arial Narrow" w:hAnsi="Arial Narrow"/>
          <w:sz w:val="28"/>
          <w:szCs w:val="28"/>
        </w:rPr>
        <w:t>Des rencontres d’échanges avec les différents acteurs : Fédération des agents immobiliers, Chambre nationale des notaires du Togo, Experts immobiliers, Association togolaise des consommateurs (ATC), etc.</w:t>
      </w:r>
    </w:p>
    <w:p w14:paraId="484BAB5D" w14:textId="77777777" w:rsidR="004B397C" w:rsidRDefault="004B397C" w:rsidP="004B397C">
      <w:pPr>
        <w:jc w:val="both"/>
        <w:rPr>
          <w:rFonts w:cs="Calibri"/>
          <w:sz w:val="28"/>
          <w:szCs w:val="28"/>
        </w:rPr>
      </w:pPr>
    </w:p>
    <w:p w14:paraId="6ECC2E58" w14:textId="77777777" w:rsidR="00EA5398" w:rsidRDefault="00EA5398"/>
    <w:sectPr w:rsidR="00EA5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4734C"/>
    <w:multiLevelType w:val="hybridMultilevel"/>
    <w:tmpl w:val="C9E60F58"/>
    <w:lvl w:ilvl="0" w:tplc="2000000F">
      <w:start w:val="3"/>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1B036C50"/>
    <w:multiLevelType w:val="hybridMultilevel"/>
    <w:tmpl w:val="8A52E2F0"/>
    <w:lvl w:ilvl="0" w:tplc="239C6D0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4D76644A"/>
    <w:multiLevelType w:val="hybridMultilevel"/>
    <w:tmpl w:val="282EC8E0"/>
    <w:lvl w:ilvl="0" w:tplc="BF1AE76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7F1E780A"/>
    <w:multiLevelType w:val="hybridMultilevel"/>
    <w:tmpl w:val="1038A1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C"/>
    <w:rsid w:val="00157647"/>
    <w:rsid w:val="002A1C5F"/>
    <w:rsid w:val="00386A1F"/>
    <w:rsid w:val="004B397C"/>
    <w:rsid w:val="0056363D"/>
    <w:rsid w:val="005A75A2"/>
    <w:rsid w:val="00723D65"/>
    <w:rsid w:val="007B6FB5"/>
    <w:rsid w:val="00916D6C"/>
    <w:rsid w:val="009879D2"/>
    <w:rsid w:val="00AF46E0"/>
    <w:rsid w:val="00E41511"/>
    <w:rsid w:val="00EA5398"/>
    <w:rsid w:val="00FE4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69A1"/>
  <w15:chartTrackingRefBased/>
  <w15:docId w15:val="{B7E0A492-8DFA-40A7-BFBE-DA26E4E3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C"/>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7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dc:creator>
  <cp:keywords/>
  <dc:description/>
  <cp:lastModifiedBy>ZEINOU</cp:lastModifiedBy>
  <cp:revision>2</cp:revision>
  <cp:lastPrinted>2022-01-07T11:25:00Z</cp:lastPrinted>
  <dcterms:created xsi:type="dcterms:W3CDTF">2023-01-16T11:27:00Z</dcterms:created>
  <dcterms:modified xsi:type="dcterms:W3CDTF">2023-01-16T11:27:00Z</dcterms:modified>
</cp:coreProperties>
</file>